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附件2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jc w:val="center"/>
        <w:rPr>
          <w:rFonts w:ascii="仿宋" w:hAnsi="仿宋" w:eastAsia="仿宋"/>
          <w:b/>
          <w:sz w:val="52"/>
          <w:szCs w:val="28"/>
          <w:highlight w:val="none"/>
        </w:rPr>
      </w:pPr>
      <w:r>
        <w:rPr>
          <w:rFonts w:hint="eastAsia" w:ascii="仿宋" w:hAnsi="仿宋" w:eastAsia="仿宋"/>
          <w:b/>
          <w:sz w:val="52"/>
          <w:szCs w:val="28"/>
          <w:highlight w:val="none"/>
        </w:rPr>
        <w:t>信用评级申报材料</w:t>
      </w:r>
    </w:p>
    <w:p>
      <w:pPr>
        <w:jc w:val="left"/>
        <w:rPr>
          <w:rFonts w:ascii="仿宋" w:hAnsi="仿宋" w:eastAsia="仿宋"/>
          <w:b/>
          <w:sz w:val="52"/>
          <w:szCs w:val="28"/>
          <w:highlight w:val="none"/>
        </w:rPr>
      </w:pPr>
    </w:p>
    <w:p>
      <w:pPr>
        <w:jc w:val="left"/>
        <w:rPr>
          <w:rFonts w:ascii="仿宋" w:hAnsi="仿宋" w:eastAsia="仿宋"/>
          <w:b/>
          <w:sz w:val="52"/>
          <w:szCs w:val="28"/>
          <w:highlight w:val="none"/>
        </w:rPr>
      </w:pPr>
    </w:p>
    <w:p>
      <w:pPr>
        <w:jc w:val="left"/>
        <w:rPr>
          <w:rFonts w:ascii="仿宋" w:hAnsi="仿宋" w:eastAsia="仿宋"/>
          <w:b/>
          <w:sz w:val="52"/>
          <w:szCs w:val="28"/>
          <w:highlight w:val="none"/>
        </w:rPr>
      </w:pPr>
    </w:p>
    <w:p>
      <w:pPr>
        <w:jc w:val="left"/>
        <w:rPr>
          <w:rFonts w:ascii="仿宋" w:hAnsi="仿宋" w:eastAsia="仿宋"/>
          <w:b/>
          <w:sz w:val="52"/>
          <w:szCs w:val="28"/>
          <w:highlight w:val="none"/>
        </w:rPr>
      </w:pPr>
    </w:p>
    <w:p>
      <w:pPr>
        <w:jc w:val="left"/>
        <w:rPr>
          <w:rFonts w:ascii="仿宋" w:hAnsi="仿宋" w:eastAsia="仿宋"/>
          <w:b/>
          <w:sz w:val="52"/>
          <w:szCs w:val="28"/>
          <w:highlight w:val="none"/>
        </w:rPr>
      </w:pPr>
    </w:p>
    <w:p>
      <w:pPr>
        <w:jc w:val="left"/>
        <w:rPr>
          <w:rFonts w:ascii="仿宋" w:hAnsi="仿宋" w:eastAsia="仿宋"/>
          <w:b/>
          <w:sz w:val="52"/>
          <w:szCs w:val="28"/>
          <w:highlight w:val="none"/>
        </w:rPr>
      </w:pPr>
    </w:p>
    <w:p>
      <w:pPr>
        <w:jc w:val="left"/>
        <w:rPr>
          <w:rFonts w:ascii="仿宋" w:hAnsi="仿宋" w:eastAsia="仿宋"/>
          <w:b/>
          <w:sz w:val="52"/>
          <w:szCs w:val="28"/>
          <w:highlight w:val="none"/>
        </w:rPr>
      </w:pPr>
    </w:p>
    <w:p>
      <w:pPr>
        <w:jc w:val="left"/>
        <w:rPr>
          <w:rFonts w:ascii="仿宋" w:hAnsi="仿宋" w:eastAsia="仿宋"/>
          <w:b/>
          <w:sz w:val="52"/>
          <w:szCs w:val="28"/>
          <w:highlight w:val="none"/>
        </w:rPr>
      </w:pPr>
    </w:p>
    <w:p>
      <w:pPr>
        <w:ind w:firstLine="1430" w:firstLineChars="445"/>
        <w:jc w:val="left"/>
        <w:rPr>
          <w:rFonts w:ascii="仿宋" w:hAnsi="仿宋" w:eastAsia="仿宋"/>
          <w:b/>
          <w:sz w:val="32"/>
          <w:szCs w:val="28"/>
          <w:highlight w:val="none"/>
        </w:rPr>
      </w:pPr>
      <w:r>
        <w:rPr>
          <w:rFonts w:hint="eastAsia" w:ascii="仿宋" w:hAnsi="仿宋" w:eastAsia="仿宋"/>
          <w:b/>
          <w:sz w:val="32"/>
          <w:szCs w:val="28"/>
          <w:highlight w:val="none"/>
        </w:rPr>
        <w:t>申报单位：</w:t>
      </w:r>
      <w:r>
        <w:rPr>
          <w:rFonts w:hint="eastAsia" w:ascii="仿宋" w:hAnsi="仿宋" w:eastAsia="仿宋"/>
          <w:b/>
          <w:sz w:val="32"/>
          <w:szCs w:val="28"/>
          <w:highlight w:val="none"/>
          <w:u w:val="single"/>
        </w:rPr>
        <w:t xml:space="preserve">                      (</w:t>
      </w:r>
      <w:r>
        <w:rPr>
          <w:rFonts w:hint="eastAsia" w:ascii="仿宋" w:hAnsi="仿宋" w:eastAsia="仿宋"/>
          <w:b/>
          <w:sz w:val="32"/>
          <w:szCs w:val="28"/>
          <w:highlight w:val="none"/>
          <w:u w:val="single"/>
          <w:lang w:eastAsia="zh-CN"/>
        </w:rPr>
        <w:t>公</w:t>
      </w:r>
      <w:r>
        <w:rPr>
          <w:rFonts w:hint="eastAsia" w:ascii="仿宋" w:hAnsi="仿宋" w:eastAsia="仿宋"/>
          <w:b/>
          <w:sz w:val="32"/>
          <w:szCs w:val="28"/>
          <w:highlight w:val="none"/>
          <w:u w:val="single"/>
        </w:rPr>
        <w:t>章)</w:t>
      </w:r>
    </w:p>
    <w:p>
      <w:pPr>
        <w:ind w:firstLine="1430" w:firstLineChars="445"/>
        <w:jc w:val="left"/>
        <w:rPr>
          <w:rFonts w:ascii="仿宋" w:hAnsi="仿宋" w:eastAsia="仿宋"/>
          <w:b/>
          <w:sz w:val="32"/>
          <w:szCs w:val="28"/>
          <w:highlight w:val="none"/>
        </w:rPr>
      </w:pPr>
      <w:r>
        <w:rPr>
          <w:rFonts w:hint="eastAsia" w:ascii="仿宋" w:hAnsi="仿宋" w:eastAsia="仿宋"/>
          <w:b/>
          <w:sz w:val="32"/>
          <w:szCs w:val="28"/>
          <w:highlight w:val="none"/>
        </w:rPr>
        <w:t>申报日期：</w:t>
      </w:r>
      <w:r>
        <w:rPr>
          <w:rFonts w:hint="eastAsia" w:ascii="仿宋" w:hAnsi="仿宋" w:eastAsia="仿宋"/>
          <w:b/>
          <w:sz w:val="32"/>
          <w:szCs w:val="28"/>
          <w:highlight w:val="none"/>
          <w:u w:val="single"/>
        </w:rPr>
        <w:t xml:space="preserve">        </w:t>
      </w:r>
      <w:r>
        <w:rPr>
          <w:rFonts w:hint="eastAsia" w:ascii="仿宋" w:hAnsi="仿宋" w:eastAsia="仿宋"/>
          <w:b/>
          <w:sz w:val="32"/>
          <w:szCs w:val="28"/>
          <w:highlight w:val="none"/>
        </w:rPr>
        <w:t>年</w:t>
      </w:r>
      <w:r>
        <w:rPr>
          <w:rFonts w:hint="eastAsia" w:ascii="仿宋" w:hAnsi="仿宋" w:eastAsia="仿宋"/>
          <w:b/>
          <w:sz w:val="32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28"/>
          <w:highlight w:val="none"/>
        </w:rPr>
        <w:t>月</w:t>
      </w:r>
      <w:r>
        <w:rPr>
          <w:rFonts w:hint="eastAsia" w:ascii="仿宋" w:hAnsi="仿宋" w:eastAsia="仿宋"/>
          <w:b/>
          <w:sz w:val="32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28"/>
          <w:highlight w:val="none"/>
        </w:rPr>
        <w:t>日</w:t>
      </w:r>
    </w:p>
    <w:p>
      <w:pPr>
        <w:widowControl/>
        <w:jc w:val="left"/>
        <w:rPr>
          <w:rFonts w:ascii="仿宋" w:hAnsi="仿宋" w:eastAsia="仿宋"/>
          <w:b/>
          <w:sz w:val="32"/>
          <w:szCs w:val="28"/>
          <w:highlight w:val="none"/>
        </w:rPr>
      </w:pPr>
      <w:r>
        <w:rPr>
          <w:rFonts w:ascii="仿宋" w:hAnsi="仿宋" w:eastAsia="仿宋"/>
          <w:b/>
          <w:sz w:val="32"/>
          <w:szCs w:val="28"/>
          <w:highlight w:val="none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2"/>
          <w:szCs w:val="28"/>
          <w:highlight w:val="none"/>
        </w:rPr>
      </w:pPr>
      <w:r>
        <w:rPr>
          <w:rFonts w:hint="eastAsia" w:ascii="仿宋" w:hAnsi="仿宋" w:eastAsia="仿宋"/>
          <w:b/>
          <w:sz w:val="32"/>
          <w:szCs w:val="28"/>
          <w:highlight w:val="none"/>
        </w:rPr>
        <w:t>目录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/>
          <w:b w:val="0"/>
          <w:bCs/>
          <w:sz w:val="28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4"/>
          <w:highlight w:val="none"/>
          <w:lang w:val="en-US" w:eastAsia="zh-CN"/>
        </w:rPr>
        <w:t>承诺书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/>
          <w:b w:val="0"/>
          <w:bCs/>
          <w:sz w:val="28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4"/>
          <w:highlight w:val="none"/>
          <w:lang w:val="en-US" w:eastAsia="zh-CN"/>
        </w:rPr>
        <w:t>市场行为（30分）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/>
          <w:b w:val="0"/>
          <w:bCs/>
          <w:sz w:val="28"/>
          <w:szCs w:val="24"/>
          <w:highlight w:val="none"/>
          <w:lang w:val="en-US" w:eastAsia="zh-CN"/>
        </w:rPr>
      </w:pPr>
      <w:r>
        <w:rPr>
          <w:rFonts w:hint="default" w:ascii="仿宋" w:hAnsi="仿宋" w:eastAsia="仿宋"/>
          <w:b w:val="0"/>
          <w:bCs/>
          <w:sz w:val="28"/>
          <w:szCs w:val="24"/>
          <w:highlight w:val="none"/>
          <w:lang w:val="en-US" w:eastAsia="zh-CN"/>
        </w:rPr>
        <w:t>质量行为</w:t>
      </w:r>
      <w:r>
        <w:rPr>
          <w:rFonts w:hint="eastAsia" w:ascii="仿宋" w:hAnsi="仿宋" w:eastAsia="仿宋"/>
          <w:b w:val="0"/>
          <w:bCs/>
          <w:sz w:val="28"/>
          <w:szCs w:val="24"/>
          <w:highlight w:val="none"/>
          <w:lang w:val="en-US" w:eastAsia="zh-CN"/>
        </w:rPr>
        <w:t>（40分）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/>
          <w:b w:val="0"/>
          <w:bCs/>
          <w:sz w:val="28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4"/>
          <w:highlight w:val="none"/>
          <w:lang w:val="en-US" w:eastAsia="zh-CN"/>
        </w:rPr>
        <w:t>技术进步（15分）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/>
          <w:b w:val="0"/>
          <w:bCs/>
          <w:sz w:val="28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4"/>
          <w:highlight w:val="none"/>
          <w:lang w:val="en-US" w:eastAsia="zh-CN"/>
        </w:rPr>
        <w:t>公益事业（15分）</w:t>
      </w:r>
    </w:p>
    <w:p>
      <w:pPr>
        <w:jc w:val="center"/>
        <w:rPr>
          <w:rFonts w:ascii="仿宋" w:hAnsi="仿宋" w:eastAsia="仿宋"/>
          <w:b/>
          <w:sz w:val="32"/>
          <w:szCs w:val="28"/>
          <w:highlight w:val="none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28"/>
          <w:highlight w:val="none"/>
        </w:rPr>
      </w:pPr>
      <w:r>
        <w:rPr>
          <w:rFonts w:hint="eastAsia" w:ascii="仿宋" w:hAnsi="仿宋" w:eastAsia="仿宋"/>
          <w:b w:val="0"/>
          <w:bCs/>
          <w:sz w:val="28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/>
          <w:b w:val="0"/>
          <w:bCs/>
          <w:sz w:val="28"/>
          <w:szCs w:val="24"/>
          <w:highlight w:val="none"/>
          <w:lang w:val="en-US" w:eastAsia="zh-CN"/>
        </w:rPr>
        <w:t>备注：需结合实际申报材料制作目录并标明页码</w:t>
      </w:r>
      <w:r>
        <w:rPr>
          <w:rFonts w:hint="eastAsia" w:ascii="仿宋" w:hAnsi="仿宋" w:eastAsia="仿宋"/>
          <w:b w:val="0"/>
          <w:bCs/>
          <w:sz w:val="28"/>
          <w:szCs w:val="24"/>
          <w:highlight w:val="none"/>
          <w:lang w:eastAsia="zh-CN"/>
        </w:rPr>
        <w:t>）</w:t>
      </w:r>
      <w:r>
        <w:rPr>
          <w:rFonts w:ascii="仿宋" w:hAnsi="仿宋" w:eastAsia="仿宋"/>
          <w:b/>
          <w:sz w:val="32"/>
          <w:szCs w:val="28"/>
          <w:highlight w:val="none"/>
        </w:rPr>
        <w:br w:type="page"/>
      </w:r>
    </w:p>
    <w:p>
      <w:pPr>
        <w:jc w:val="center"/>
        <w:rPr>
          <w:rFonts w:ascii="仿宋" w:hAnsi="仿宋" w:eastAsia="仿宋"/>
          <w:b/>
          <w:sz w:val="32"/>
          <w:szCs w:val="28"/>
          <w:highlight w:val="none"/>
        </w:rPr>
      </w:pPr>
    </w:p>
    <w:p>
      <w:pPr>
        <w:jc w:val="center"/>
        <w:rPr>
          <w:rFonts w:ascii="仿宋" w:hAnsi="仿宋" w:eastAsia="仿宋"/>
          <w:b/>
          <w:sz w:val="32"/>
          <w:szCs w:val="24"/>
          <w:highlight w:val="none"/>
        </w:rPr>
      </w:pPr>
      <w:r>
        <w:rPr>
          <w:rFonts w:hint="eastAsia" w:ascii="仿宋" w:hAnsi="仿宋" w:eastAsia="仿宋"/>
          <w:b/>
          <w:sz w:val="32"/>
          <w:szCs w:val="24"/>
          <w:highlight w:val="none"/>
        </w:rPr>
        <w:t>承 诺 书</w:t>
      </w:r>
    </w:p>
    <w:p>
      <w:pPr>
        <w:jc w:val="center"/>
        <w:rPr>
          <w:rFonts w:ascii="仿宋" w:hAnsi="仿宋" w:eastAsia="仿宋"/>
          <w:b/>
          <w:sz w:val="32"/>
          <w:szCs w:val="28"/>
          <w:highlight w:val="none"/>
        </w:rPr>
      </w:pPr>
    </w:p>
    <w:p>
      <w:pPr>
        <w:ind w:firstLine="548" w:firstLineChars="196"/>
        <w:jc w:val="lef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我单位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企业</w:t>
      </w:r>
      <w:r>
        <w:rPr>
          <w:rFonts w:hint="eastAsia" w:ascii="仿宋" w:hAnsi="仿宋" w:eastAsia="仿宋"/>
          <w:sz w:val="28"/>
          <w:szCs w:val="28"/>
          <w:highlight w:val="none"/>
        </w:rPr>
        <w:t>名称）承诺，所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提供的</w:t>
      </w:r>
      <w:r>
        <w:rPr>
          <w:rFonts w:hint="eastAsia" w:ascii="仿宋" w:hAnsi="仿宋" w:eastAsia="仿宋"/>
          <w:sz w:val="28"/>
          <w:szCs w:val="28"/>
          <w:highlight w:val="none"/>
        </w:rPr>
        <w:t>吉林省勘察设计单位信用评级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申报材</w:t>
      </w:r>
      <w:r>
        <w:rPr>
          <w:rFonts w:hint="eastAsia" w:ascii="仿宋" w:hAnsi="仿宋" w:eastAsia="仿宋"/>
          <w:sz w:val="28"/>
          <w:szCs w:val="28"/>
          <w:highlight w:val="none"/>
        </w:rPr>
        <w:t>料均真实、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有效</w:t>
      </w:r>
      <w:r>
        <w:rPr>
          <w:rFonts w:hint="eastAsia" w:ascii="仿宋" w:hAnsi="仿宋" w:eastAsia="仿宋"/>
          <w:sz w:val="28"/>
          <w:szCs w:val="28"/>
          <w:highlight w:val="none"/>
        </w:rPr>
        <w:t>，如有虚假、伪造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等</w:t>
      </w:r>
      <w:r>
        <w:rPr>
          <w:rFonts w:hint="eastAsia" w:ascii="仿宋" w:hAnsi="仿宋" w:eastAsia="仿宋"/>
          <w:sz w:val="28"/>
          <w:szCs w:val="28"/>
          <w:highlight w:val="none"/>
        </w:rPr>
        <w:t>情况，我单位愿承担相应责任，并承担由此产生的一切后果。</w:t>
      </w:r>
    </w:p>
    <w:p>
      <w:pPr>
        <w:ind w:firstLine="548" w:firstLineChars="196"/>
        <w:jc w:val="lef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特此承诺。</w:t>
      </w:r>
    </w:p>
    <w:p>
      <w:pPr>
        <w:ind w:firstLine="548" w:firstLineChars="196"/>
        <w:jc w:val="left"/>
        <w:rPr>
          <w:rFonts w:ascii="仿宋" w:hAnsi="仿宋" w:eastAsia="仿宋"/>
          <w:sz w:val="28"/>
          <w:szCs w:val="28"/>
          <w:highlight w:val="none"/>
        </w:rPr>
      </w:pPr>
    </w:p>
    <w:p>
      <w:pPr>
        <w:ind w:firstLine="548" w:firstLineChars="196"/>
        <w:jc w:val="left"/>
        <w:rPr>
          <w:rFonts w:ascii="仿宋" w:hAnsi="仿宋" w:eastAsia="仿宋"/>
          <w:sz w:val="28"/>
          <w:szCs w:val="28"/>
          <w:highlight w:val="none"/>
        </w:rPr>
      </w:pPr>
    </w:p>
    <w:p>
      <w:pPr>
        <w:ind w:firstLine="548" w:firstLineChars="196"/>
        <w:jc w:val="left"/>
        <w:rPr>
          <w:rFonts w:ascii="仿宋" w:hAnsi="仿宋" w:eastAsia="仿宋"/>
          <w:sz w:val="28"/>
          <w:szCs w:val="28"/>
          <w:highlight w:val="none"/>
        </w:rPr>
      </w:pPr>
    </w:p>
    <w:p>
      <w:pPr>
        <w:wordWrap w:val="0"/>
        <w:ind w:firstLine="548" w:firstLineChars="196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单位名称：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            （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eastAsia="zh-CN"/>
        </w:rPr>
        <w:t>公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章）</w:t>
      </w:r>
    </w:p>
    <w:p>
      <w:pPr>
        <w:wordWrap w:val="0"/>
        <w:ind w:firstLine="548" w:firstLineChars="196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日期：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highlight w:val="none"/>
        </w:rPr>
        <w:t>日</w:t>
      </w:r>
    </w:p>
    <w:p>
      <w:pPr>
        <w:widowControl/>
        <w:jc w:val="left"/>
        <w:rPr>
          <w:rFonts w:ascii="仿宋" w:hAnsi="仿宋" w:eastAsia="仿宋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sz w:val="36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sz w:val="36"/>
          <w:szCs w:val="28"/>
          <w:highlight w:val="none"/>
          <w:lang w:val="en-US" w:eastAsia="zh-CN"/>
        </w:rPr>
        <w:t xml:space="preserve">第一部分  </w:t>
      </w:r>
      <w:r>
        <w:rPr>
          <w:rFonts w:hint="eastAsia" w:ascii="宋体" w:hAnsi="宋体" w:eastAsia="宋体" w:cs="宋体"/>
          <w:b/>
          <w:bCs w:val="0"/>
          <w:sz w:val="36"/>
          <w:szCs w:val="28"/>
          <w:highlight w:val="none"/>
          <w:lang w:val="en-US" w:eastAsia="zh-CN"/>
        </w:rPr>
        <w:t>市场行为</w:t>
      </w:r>
      <w:r>
        <w:rPr>
          <w:rFonts w:hint="eastAsia" w:ascii="宋体" w:hAnsi="宋体" w:cs="宋体"/>
          <w:b/>
          <w:bCs w:val="0"/>
          <w:sz w:val="36"/>
          <w:szCs w:val="28"/>
          <w:highlight w:val="none"/>
          <w:lang w:val="en-US" w:eastAsia="zh-CN"/>
        </w:rPr>
        <w:t>（30分）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sz w:val="36"/>
          <w:szCs w:val="28"/>
          <w:highlight w:val="none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t>企业年度创造的产值效益（10分）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2"/>
          <w:szCs w:val="2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房建和市政设计单位年产值0.5亿元以上得10分，0.3亿元以上至0.5亿元得8分，0.3亿元以下得6分。其他行业设计单位年产值达到1亿元以上得10分，0.5亿以上至1亿元得8分，0.5亿元以下得6分。勘察单位年产值0.3亿元以上得10分，0.15亿元至0.3亿元的得8分，0.15亿元以下得6分。</w:t>
      </w:r>
      <w:r>
        <w:rPr>
          <w:rFonts w:hint="eastAsia" w:ascii="仿宋" w:hAnsi="仿宋" w:eastAsia="仿宋" w:cs="仿宋"/>
          <w:b w:val="0"/>
          <w:bCs/>
          <w:sz w:val="22"/>
          <w:szCs w:val="22"/>
          <w:highlight w:val="none"/>
          <w:lang w:val="en-US" w:eastAsia="zh-CN"/>
        </w:rPr>
        <w:t>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  <w:t>（此处附上年度报送至主管部门的统计年报数据截图并加盖公章）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企业年度完成项目数量（5分）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(年完成勘察设计业务10项以上得5分，5项以上得4分，3项以上得3分)</w:t>
      </w:r>
    </w:p>
    <w:tbl>
      <w:tblPr>
        <w:tblStyle w:val="5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941"/>
        <w:gridCol w:w="1323"/>
        <w:gridCol w:w="133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合同签订时间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合同/中标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金额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项目进展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（备注：</w:t>
      </w: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1.年度完成项目以签订合同时间为准</w:t>
      </w: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；2.将合同主要页或中标通知书等证明材料加盖公章依次附后。）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ind w:left="0" w:leftChars="0" w:firstLine="420" w:firstLineChars="0"/>
        <w:jc w:val="center"/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t>年度</w:t>
      </w:r>
      <w: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t>拓展省外国外勘察设计业务（5分）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(开展一项得1分，5分封顶)</w:t>
      </w:r>
    </w:p>
    <w:tbl>
      <w:tblPr>
        <w:tblStyle w:val="5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404"/>
        <w:gridCol w:w="1050"/>
        <w:gridCol w:w="1170"/>
        <w:gridCol w:w="1335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项目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合同签订时间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合同/中标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金额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项目进展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（备注：</w:t>
      </w: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1.年度拓展省外国外勘察设计业务以签订合同时间为准；</w:t>
      </w: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2.将合同主要页或中标通知书等证明材料加盖公章依次附后。）</w:t>
      </w: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br w:type="page"/>
      </w:r>
      <w: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t>企业资质（5分）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(甲级5分，乙级4分，丙级及以下3分)</w:t>
      </w:r>
    </w:p>
    <w:p>
      <w:pPr>
        <w:numPr>
          <w:ilvl w:val="0"/>
          <w:numId w:val="3"/>
        </w:numPr>
        <w:ind w:leftChars="0"/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营业执照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（副本扫描件加盖公章）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3"/>
        </w:numPr>
        <w:ind w:leftChars="0"/>
        <w:jc w:val="both"/>
        <w:rPr>
          <w:rFonts w:hint="default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资质证书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（副本扫描件加盖公章）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br w:type="page"/>
      </w:r>
      <w: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t>年度内遵纪守法，无违法违规行为（5分）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(未发生违法违规行为得5分)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1.在“信用中国”网站(http://www.creditchina.gov.cn/)“经营异常名录信息查询”截图并盖章</w:t>
      </w:r>
    </w:p>
    <w:p>
      <w:pPr>
        <w:numPr>
          <w:ilvl w:val="0"/>
          <w:numId w:val="0"/>
        </w:numPr>
        <w:jc w:val="center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429250" cy="39001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（备注：年度在吉林省住房和城乡建设厅官方网站“行政处罚信息公示”或“不良行为信息公示”中，被处罚或被记入不良行为记录的单位不得分。）</w:t>
      </w:r>
    </w:p>
    <w:p>
      <w:pPr>
        <w:numPr>
          <w:ilvl w:val="0"/>
          <w:numId w:val="0"/>
        </w:numPr>
        <w:ind w:leftChars="0"/>
        <w:jc w:val="center"/>
        <w:rPr>
          <w:rFonts w:hint="default" w:ascii="宋体" w:hAnsi="宋体" w:eastAsia="宋体" w:cs="宋体"/>
          <w:b/>
          <w:bCs w:val="0"/>
          <w:sz w:val="36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br w:type="page"/>
      </w:r>
      <w:r>
        <w:rPr>
          <w:rFonts w:hint="eastAsia" w:ascii="宋体" w:hAnsi="宋体" w:cs="宋体"/>
          <w:b/>
          <w:bCs w:val="0"/>
          <w:sz w:val="36"/>
          <w:szCs w:val="28"/>
          <w:highlight w:val="none"/>
          <w:lang w:val="en-US" w:eastAsia="zh-CN"/>
        </w:rPr>
        <w:t>第二部分 质量行为（40分）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 w:val="0"/>
          <w:sz w:val="36"/>
          <w:szCs w:val="28"/>
          <w:highlight w:val="none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t>执行年度施工图联审综合评定打分（40分）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(优秀档次40分，良好档次35分，一般档次30分，较差档次20分，处罚档次0分)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  <w:t>（此处应附施工图联审系统年度综合评定打分截图并加盖公章）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</w:pPr>
      <w:r>
        <w:rPr>
          <w:highlight w:val="none"/>
        </w:rPr>
        <w:drawing>
          <wp:inline distT="0" distB="0" distL="114300" distR="114300">
            <wp:extent cx="5258435" cy="2898140"/>
            <wp:effectExtent l="0" t="0" r="18415" b="16510"/>
            <wp:docPr id="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br w:type="page"/>
      </w:r>
      <w:r>
        <w:rPr>
          <w:rFonts w:hint="eastAsia" w:ascii="仿宋" w:hAnsi="仿宋" w:eastAsia="仿宋" w:cs="仿宋"/>
          <w:b w:val="0"/>
          <w:bCs/>
          <w:sz w:val="32"/>
          <w:szCs w:val="24"/>
          <w:highlight w:val="none"/>
          <w:lang w:val="en-US" w:eastAsia="zh-CN"/>
        </w:rPr>
        <w:t>其他行业企业（40分）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(省级行业主管部门出具质量优秀证明的得40分；其余得30分)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  <w:t>（此处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FF0000"/>
          <w:sz w:val="28"/>
          <w:szCs w:val="22"/>
          <w:highlight w:val="none"/>
          <w:lang w:val="en-US" w:eastAsia="zh-CN"/>
        </w:rPr>
        <w:t>附省级行业主管部门出具的质量优秀证明）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 w:val="0"/>
          <w:sz w:val="36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 w:val="0"/>
          <w:sz w:val="36"/>
          <w:szCs w:val="28"/>
          <w:highlight w:val="none"/>
          <w:lang w:val="en-US" w:eastAsia="zh-CN"/>
        </w:rPr>
      </w:pPr>
    </w:p>
    <w:p>
      <w:pPr>
        <w:rPr>
          <w:rFonts w:hint="default" w:ascii="宋体" w:hAnsi="宋体" w:cs="宋体"/>
          <w:b/>
          <w:bCs w:val="0"/>
          <w:sz w:val="36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 w:val="0"/>
          <w:sz w:val="36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sz w:val="36"/>
          <w:szCs w:val="28"/>
          <w:highlight w:val="none"/>
          <w:lang w:val="en-US" w:eastAsia="zh-CN"/>
        </w:rPr>
        <w:br w:type="page"/>
      </w:r>
      <w:r>
        <w:rPr>
          <w:rFonts w:hint="eastAsia" w:ascii="宋体" w:hAnsi="宋体" w:cs="宋体"/>
          <w:b/>
          <w:bCs w:val="0"/>
          <w:sz w:val="36"/>
          <w:szCs w:val="28"/>
          <w:highlight w:val="none"/>
          <w:lang w:val="en-US" w:eastAsia="zh-CN"/>
        </w:rPr>
        <w:t>第三部分  技术进步（15分）</w:t>
      </w:r>
    </w:p>
    <w:p>
      <w:pPr>
        <w:numPr>
          <w:ilvl w:val="0"/>
          <w:numId w:val="5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年度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开展工程总承包、全过程咨询、BIM设计、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装配式建筑设计业务（5分）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(开展一项得1分，5分封顶)</w:t>
      </w:r>
    </w:p>
    <w:tbl>
      <w:tblPr>
        <w:tblStyle w:val="5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103"/>
        <w:gridCol w:w="2220"/>
        <w:gridCol w:w="975"/>
        <w:gridCol w:w="1392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合同签订时间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合同/中标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金额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项目进展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工程总承包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全过程咨询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BIM设计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装配式建筑设计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工程总承包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全过程咨询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BIM设计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装配式建筑设计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工程总承包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全过程咨询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BIM设计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装配式建筑设计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工程总承包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全过程咨询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BIM设计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装配式建筑设计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工程总承包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全过程咨询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BIM设计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装配式建筑设计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完成施工图设计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 xml:space="preserve">正在设计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  <w:t>未设计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4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（备注：</w:t>
      </w: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1.年度开展工程总承包、全过程咨询、BIM设计、装配式建筑设计业务以签订合同时间为准；</w:t>
      </w:r>
      <w:r>
        <w:rPr>
          <w:rFonts w:hint="eastAsia" w:ascii="仿宋" w:hAnsi="仿宋" w:eastAsia="仿宋" w:cs="仿宋"/>
          <w:b w:val="0"/>
          <w:bCs/>
          <w:sz w:val="28"/>
          <w:szCs w:val="22"/>
          <w:highlight w:val="none"/>
          <w:lang w:val="en-US" w:eastAsia="zh-CN"/>
        </w:rPr>
        <w:t>2.将合同主要页或中标通知书等证明材料加盖公章依次附后。）</w:t>
      </w:r>
    </w:p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numPr>
          <w:ilvl w:val="0"/>
          <w:numId w:val="5"/>
        </w:numPr>
        <w:jc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健全质量安全管理体系（3分）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（获得ISO9000认证得3分；有必要的管理制度的得2分）</w:t>
      </w:r>
    </w:p>
    <w:p>
      <w:pPr>
        <w:numPr>
          <w:ilvl w:val="0"/>
          <w:numId w:val="0"/>
        </w:numPr>
        <w:jc w:val="center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009515" cy="6517005"/>
            <wp:effectExtent l="0" t="0" r="635" b="17145"/>
            <wp:docPr id="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651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highlight w:val="none"/>
        </w:rPr>
      </w:pPr>
    </w:p>
    <w:p>
      <w:pPr>
        <w:numPr>
          <w:ilvl w:val="0"/>
          <w:numId w:val="0"/>
        </w:numPr>
        <w:jc w:val="center"/>
        <w:rPr>
          <w:rFonts w:hint="eastAsia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>（附扫描件并加盖公章）</w:t>
      </w:r>
    </w:p>
    <w:p>
      <w:pPr>
        <w:numPr>
          <w:ilvl w:val="0"/>
          <w:numId w:val="5"/>
        </w:numPr>
        <w:jc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获得科技进步奖和优秀工程勘察设计奖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（5分）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（获得国家及省一等奖的得5分；获得国家及省二等奖的得4分；获得国家及省三等奖的得3分；获得市（州）级以上奖项的得1分）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>（附获奖证书扫描件并加盖公章）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numPr>
          <w:ilvl w:val="0"/>
          <w:numId w:val="5"/>
        </w:numPr>
        <w:jc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勘察设计单位和管理者获得市（州）以上部门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颁发的荣誉称号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（2分）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（获得一项得1分，2分封顶）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>（附证书或文件扫描件并加盖公章）</w:t>
      </w:r>
    </w:p>
    <w:p>
      <w:pPr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 w:val="0"/>
          <w:sz w:val="36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sz w:val="36"/>
          <w:szCs w:val="28"/>
          <w:highlight w:val="none"/>
          <w:lang w:val="en-US" w:eastAsia="zh-CN"/>
        </w:rPr>
        <w:br w:type="page"/>
      </w:r>
      <w:r>
        <w:rPr>
          <w:rFonts w:hint="eastAsia" w:ascii="宋体" w:hAnsi="宋体" w:cs="宋体"/>
          <w:b/>
          <w:bCs w:val="0"/>
          <w:sz w:val="36"/>
          <w:szCs w:val="28"/>
          <w:highlight w:val="none"/>
          <w:lang w:val="en-US" w:eastAsia="zh-CN"/>
        </w:rPr>
        <w:t>第四部分  公益事业（15分）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b/>
          <w:bCs w:val="0"/>
          <w:sz w:val="36"/>
          <w:szCs w:val="28"/>
          <w:highlight w:val="none"/>
          <w:lang w:val="en-US" w:eastAsia="zh-CN"/>
        </w:rPr>
      </w:pPr>
    </w:p>
    <w:p>
      <w:pPr>
        <w:numPr>
          <w:ilvl w:val="0"/>
          <w:numId w:val="6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参与国家、省标准规范制定（3分）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（单位主编或参编国家及省标准规范规定）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>（附制定标准封面及涉及企业或个人页面扫描件并加盖公章）</w:t>
      </w:r>
    </w:p>
    <w:p>
      <w:pPr>
        <w:numPr>
          <w:ilvl w:val="0"/>
          <w:numId w:val="0"/>
        </w:numPr>
        <w:jc w:val="center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70500" cy="7443470"/>
            <wp:effectExtent l="0" t="0" r="6350" b="5080"/>
            <wp:docPr id="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highlight w:val="none"/>
          <w:lang w:val="en-US" w:eastAsia="zh-CN"/>
        </w:rPr>
      </w:pPr>
      <w:r>
        <w:rPr>
          <w:highlight w:val="none"/>
        </w:rPr>
        <w:drawing>
          <wp:inline distT="0" distB="0" distL="114300" distR="114300">
            <wp:extent cx="5266690" cy="6748145"/>
            <wp:effectExtent l="0" t="0" r="10160" b="14605"/>
            <wp:docPr id="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numPr>
          <w:ilvl w:val="0"/>
          <w:numId w:val="6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单位人员参加市（州）以上住建部门、行业协会组织的课题研究、技术论证、优秀评选、质量检查等活动（3分）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（参与一项得1分，3分封顶）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>（附通知、邀请函等相关证明文件扫描件并加盖公章）</w:t>
      </w:r>
    </w:p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numPr>
          <w:ilvl w:val="0"/>
          <w:numId w:val="6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注重人才培养（3分）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（单位有省级大师的得3分；有青年大师的得2分；有注册执业人员的得1分）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>（附相关人员资格证书扫描件并加盖公章）</w:t>
      </w:r>
    </w:p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numPr>
          <w:ilvl w:val="0"/>
          <w:numId w:val="6"/>
        </w:num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社会责任感（6分）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（省勘察设计协会副理事长单位得6分；理事单位得5分；会员单位得4分）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>（附相关会员单位证书扫描件并加盖公章）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b w:val="0"/>
          <w:bCs/>
          <w:sz w:val="36"/>
          <w:szCs w:val="28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 w:ascii="宋体" w:hAnsi="宋体" w:cs="宋体"/>
          <w:b/>
          <w:bCs w:val="0"/>
          <w:sz w:val="36"/>
          <w:szCs w:val="28"/>
          <w:highlight w:val="none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D77CA0"/>
    <w:multiLevelType w:val="singleLevel"/>
    <w:tmpl w:val="8AD77C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37A450F"/>
    <w:multiLevelType w:val="singleLevel"/>
    <w:tmpl w:val="D37A45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D8095CE"/>
    <w:multiLevelType w:val="singleLevel"/>
    <w:tmpl w:val="DD8095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E71DA2D"/>
    <w:multiLevelType w:val="singleLevel"/>
    <w:tmpl w:val="FE71DA2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" w:hAnsi="仿宋" w:eastAsia="仿宋" w:cs="仿宋"/>
        <w:b w:val="0"/>
        <w:bCs w:val="0"/>
        <w:sz w:val="28"/>
        <w:szCs w:val="28"/>
      </w:rPr>
    </w:lvl>
  </w:abstractNum>
  <w:abstractNum w:abstractNumId="4">
    <w:nsid w:val="25296D42"/>
    <w:multiLevelType w:val="singleLevel"/>
    <w:tmpl w:val="25296D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3FCCD26"/>
    <w:multiLevelType w:val="singleLevel"/>
    <w:tmpl w:val="43FCCD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NzRjM2RmODY5YzI3MGZlMDQzMThkNjc4MDFiZmEifQ=="/>
  </w:docVars>
  <w:rsids>
    <w:rsidRoot w:val="000F102A"/>
    <w:rsid w:val="000F102A"/>
    <w:rsid w:val="0014010C"/>
    <w:rsid w:val="0052433E"/>
    <w:rsid w:val="007268FA"/>
    <w:rsid w:val="007E1D46"/>
    <w:rsid w:val="00ED2483"/>
    <w:rsid w:val="01BB691C"/>
    <w:rsid w:val="06BA03FF"/>
    <w:rsid w:val="08461AE6"/>
    <w:rsid w:val="11187158"/>
    <w:rsid w:val="15B177A1"/>
    <w:rsid w:val="17B63B9B"/>
    <w:rsid w:val="1A156D84"/>
    <w:rsid w:val="1A7B6ED2"/>
    <w:rsid w:val="1C7444A0"/>
    <w:rsid w:val="1D8473B4"/>
    <w:rsid w:val="1EE6508B"/>
    <w:rsid w:val="20D9795F"/>
    <w:rsid w:val="236048D1"/>
    <w:rsid w:val="26070EC1"/>
    <w:rsid w:val="2E9D1EEA"/>
    <w:rsid w:val="354B256C"/>
    <w:rsid w:val="368A5618"/>
    <w:rsid w:val="36926214"/>
    <w:rsid w:val="374F31C3"/>
    <w:rsid w:val="3C9012E0"/>
    <w:rsid w:val="3DD57E81"/>
    <w:rsid w:val="401F533C"/>
    <w:rsid w:val="403B1563"/>
    <w:rsid w:val="457A173A"/>
    <w:rsid w:val="47E11690"/>
    <w:rsid w:val="4AE271C0"/>
    <w:rsid w:val="4B2C38FD"/>
    <w:rsid w:val="4DD22C0C"/>
    <w:rsid w:val="50DB47D9"/>
    <w:rsid w:val="528462EE"/>
    <w:rsid w:val="5A3B682F"/>
    <w:rsid w:val="5BA41C35"/>
    <w:rsid w:val="5D3111D1"/>
    <w:rsid w:val="5D4F7D59"/>
    <w:rsid w:val="61A1219C"/>
    <w:rsid w:val="62314848"/>
    <w:rsid w:val="6784575C"/>
    <w:rsid w:val="6DD733CF"/>
    <w:rsid w:val="6F325D80"/>
    <w:rsid w:val="73686E9C"/>
    <w:rsid w:val="78136E16"/>
    <w:rsid w:val="7B4F3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www.deepin.net.cn</Company>
  <Pages>20</Pages>
  <Words>2228</Words>
  <Characters>2335</Characters>
  <Lines>1</Lines>
  <Paragraphs>1</Paragraphs>
  <TotalTime>3</TotalTime>
  <ScaleCrop>false</ScaleCrop>
  <LinksUpToDate>false</LinksUpToDate>
  <CharactersWithSpaces>2461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2023-02-17T03:02:00Z</dcterms:created>
  <dc:creator>深度技术论坛</dc:creator>
  <cp:lastModifiedBy>WPS_1660028340</cp:lastModifiedBy>
  <cp:lastPrinted>2023-02-21T06:37:00Z</cp:lastPrinted>
  <dcterms:modified xsi:type="dcterms:W3CDTF">2023-02-23T07:04:35Z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ABAE12F153004861AC68F3B0ABE48A10</vt:lpwstr>
  </property>
</Properties>
</file>